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95" w:rsidRPr="00C25C95" w:rsidRDefault="00C25C95" w:rsidP="000A65C0">
      <w:pPr>
        <w:widowControl/>
        <w:jc w:val="center"/>
        <w:rPr>
          <w:rFonts w:ascii="华文中宋" w:eastAsia="华文中宋" w:hAnsi="华文中宋" w:cs="宋体"/>
          <w:b/>
          <w:bCs/>
          <w:color w:val="333333"/>
          <w:kern w:val="0"/>
          <w:sz w:val="32"/>
          <w:szCs w:val="32"/>
        </w:rPr>
      </w:pPr>
      <w:r w:rsidRPr="00C25C95">
        <w:rPr>
          <w:rFonts w:ascii="华文中宋" w:eastAsia="华文中宋" w:hAnsi="华文中宋" w:cs="宋体" w:hint="eastAsia"/>
          <w:b/>
          <w:bCs/>
          <w:color w:val="333333"/>
          <w:kern w:val="0"/>
          <w:sz w:val="32"/>
          <w:szCs w:val="32"/>
        </w:rPr>
        <w:t>上海体育学院学位论文学术不端行为检测试行办法</w:t>
      </w:r>
    </w:p>
    <w:p w:rsidR="00C25C95" w:rsidRPr="000A65C0" w:rsidRDefault="00C25C95" w:rsidP="000A65C0">
      <w:pPr>
        <w:widowControl/>
        <w:jc w:val="center"/>
        <w:rPr>
          <w:rFonts w:ascii="宋体" w:eastAsia="宋体" w:hAnsi="宋体" w:cs="宋体"/>
          <w:color w:val="333333"/>
          <w:kern w:val="0"/>
          <w:sz w:val="18"/>
          <w:szCs w:val="18"/>
        </w:rPr>
      </w:pPr>
    </w:p>
    <w:p w:rsidR="00C25C95" w:rsidRPr="000A65C0" w:rsidRDefault="00C25C95" w:rsidP="000A65C0">
      <w:pPr>
        <w:widowControl/>
        <w:jc w:val="right"/>
        <w:rPr>
          <w:rFonts w:ascii="宋体" w:eastAsia="宋体" w:hAnsi="宋体" w:cs="宋体"/>
          <w:color w:val="333333"/>
          <w:kern w:val="0"/>
          <w:sz w:val="18"/>
          <w:szCs w:val="18"/>
        </w:rPr>
      </w:pP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仿宋_GB2312" w:hint="eastAsia"/>
          <w:kern w:val="0"/>
          <w:sz w:val="24"/>
          <w:szCs w:val="24"/>
        </w:rPr>
        <w:t>为切实贯彻落实国务院学位委员会“关于在学位授予工作中加强学术道德和学术规范建设的意见”（学位〔2010〕9号）精神，维护学术道德，规范学术行为，</w:t>
      </w:r>
      <w:r w:rsidRPr="00C25C95">
        <w:rPr>
          <w:rFonts w:asciiTheme="minorEastAsia" w:hAnsiTheme="minorEastAsia" w:cs="宋体" w:hint="eastAsia"/>
          <w:kern w:val="0"/>
          <w:sz w:val="24"/>
          <w:szCs w:val="24"/>
        </w:rPr>
        <w:t>加强我校研究生学位论文的质量监控，避免学位论文撰写过程中的抄袭、剽窃等学术不端行为，建立和健全相应的鉴别和惩处机制，经学校研究同意，由我处引进清华大学中国知网开发的“学位论文学术不端行为检测系统（TMLC2）”对我校的研究生学位论文进行检测。具体方案如下：</w:t>
      </w:r>
    </w:p>
    <w:p w:rsidR="00C25C95" w:rsidRDefault="00C25C95" w:rsidP="00E03FC5">
      <w:pPr>
        <w:widowControl/>
        <w:adjustRightInd w:val="0"/>
        <w:snapToGrid w:val="0"/>
        <w:spacing w:beforeLines="50" w:afterLines="50" w:line="480" w:lineRule="exact"/>
        <w:ind w:firstLineChars="200" w:firstLine="482"/>
        <w:jc w:val="left"/>
        <w:rPr>
          <w:rFonts w:asciiTheme="minorEastAsia" w:hAnsiTheme="minorEastAsia" w:cs="宋体"/>
          <w:b/>
          <w:bCs/>
          <w:kern w:val="0"/>
          <w:sz w:val="24"/>
          <w:szCs w:val="24"/>
        </w:rPr>
      </w:pPr>
      <w:r w:rsidRPr="00C25C95">
        <w:rPr>
          <w:rFonts w:asciiTheme="minorEastAsia" w:hAnsiTheme="minorEastAsia" w:cs="宋体" w:hint="eastAsia"/>
          <w:b/>
          <w:bCs/>
          <w:kern w:val="0"/>
          <w:sz w:val="24"/>
          <w:szCs w:val="24"/>
        </w:rPr>
        <w:t>一、检测范围、内容和指标</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1、检测范围：在本校申请博士学位或硕士学位的全体人员。</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2、检测内容：拟申请学位的论文终稿正文（除目录、中英文摘要、参考文献等外）部分的电子版文档（要求为word格式）。</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3、检测指标：拟检测学位论文电子版文档与中国知网开发的“学位论文学术不端行为检测系统（TMLC2）”文献数据库(全国)联机检测。以该系统测出的学位论文重合字数和学位论文总文字数复制比为指标及学位论文连续重合文字200字为指标。</w:t>
      </w:r>
    </w:p>
    <w:p w:rsidR="00C25C95" w:rsidRDefault="00C25C95" w:rsidP="00E03FC5">
      <w:pPr>
        <w:widowControl/>
        <w:adjustRightInd w:val="0"/>
        <w:snapToGrid w:val="0"/>
        <w:spacing w:beforeLines="50" w:afterLines="50" w:line="480" w:lineRule="exact"/>
        <w:ind w:firstLineChars="200" w:firstLine="480"/>
        <w:jc w:val="left"/>
        <w:rPr>
          <w:rFonts w:asciiTheme="minorEastAsia" w:hAnsiTheme="minorEastAsia" w:cs="宋体"/>
          <w:b/>
          <w:bCs/>
          <w:kern w:val="0"/>
          <w:sz w:val="24"/>
          <w:szCs w:val="24"/>
        </w:rPr>
      </w:pPr>
      <w:r w:rsidRPr="00C25C95">
        <w:rPr>
          <w:rFonts w:asciiTheme="minorEastAsia" w:hAnsiTheme="minorEastAsia" w:cs="宋体" w:hint="eastAsia"/>
          <w:kern w:val="0"/>
          <w:sz w:val="24"/>
          <w:szCs w:val="24"/>
        </w:rPr>
        <w:t>二、</w:t>
      </w:r>
      <w:r w:rsidRPr="00C25C95">
        <w:rPr>
          <w:rFonts w:asciiTheme="minorEastAsia" w:hAnsiTheme="minorEastAsia" w:cs="宋体" w:hint="eastAsia"/>
          <w:b/>
          <w:bCs/>
          <w:kern w:val="0"/>
          <w:sz w:val="24"/>
          <w:szCs w:val="24"/>
        </w:rPr>
        <w:t>检测时间和要求</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1、检测工作研究生处指定专人负责对当次申请学位人员论文进行检测。每学期各进行一次，检测时间分别对应每年两次答辩时间，由研究生处学位办公室根据答辩时间要求进行安排。</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2、拟申请学位人员须在各学院指定日期前提交学位论文终稿电子版全文（要求为word格式）以备检测，各学院在规定时间内将本学院拟申请学位人员的论文终稿全文电子版送研究生处检测。提交论文须按学号_姓名的规则命名，如2010410001_XXX.doc。论文终稿正文部分电子版的字数要求为硕士论文在1.5万—5万，博士论文在5万—15万之间。</w:t>
      </w:r>
    </w:p>
    <w:p w:rsidR="00C25C95" w:rsidRDefault="00C25C95" w:rsidP="00E03FC5">
      <w:pPr>
        <w:widowControl/>
        <w:adjustRightInd w:val="0"/>
        <w:snapToGrid w:val="0"/>
        <w:spacing w:beforeLines="50" w:afterLines="50" w:line="480" w:lineRule="exact"/>
        <w:ind w:firstLineChars="200" w:firstLine="482"/>
        <w:jc w:val="left"/>
        <w:rPr>
          <w:rFonts w:asciiTheme="minorEastAsia" w:hAnsiTheme="minorEastAsia" w:cs="宋体"/>
          <w:b/>
          <w:bCs/>
          <w:kern w:val="0"/>
          <w:sz w:val="24"/>
          <w:szCs w:val="24"/>
        </w:rPr>
      </w:pPr>
      <w:r w:rsidRPr="00C25C95">
        <w:rPr>
          <w:rFonts w:asciiTheme="minorEastAsia" w:hAnsiTheme="minorEastAsia" w:cs="宋体" w:hint="eastAsia"/>
          <w:b/>
          <w:bCs/>
          <w:kern w:val="0"/>
          <w:sz w:val="24"/>
          <w:szCs w:val="24"/>
        </w:rPr>
        <w:t>三、检测结果处理</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lastRenderedPageBreak/>
        <w:t>研究生处对拟申请学位论文进行集中检测后，将检测结果反馈各二级学院，由各二级学院再反馈给学位申请人及其导师。检测结果处理由各二级学院学位评定分委员会负责，各二级学院学位评定分委员会应根据检测情况，认真分析后，结合自身学科实际，做出处理意见，可参照以下规定进行：</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Times New Roman"/>
          <w:kern w:val="0"/>
          <w:sz w:val="24"/>
          <w:szCs w:val="24"/>
        </w:rPr>
        <w:t>1</w:t>
      </w:r>
      <w:r w:rsidRPr="00C25C95">
        <w:rPr>
          <w:rFonts w:asciiTheme="minorEastAsia" w:hAnsiTheme="minorEastAsia" w:cs="宋体" w:hint="eastAsia"/>
          <w:kern w:val="0"/>
          <w:sz w:val="24"/>
          <w:szCs w:val="24"/>
        </w:rPr>
        <w:t>、除去本人为第一作者发表的论文以外，重合字数比例小于等于</w:t>
      </w:r>
      <w:r w:rsidRPr="00C25C95">
        <w:rPr>
          <w:rFonts w:asciiTheme="minorEastAsia" w:hAnsiTheme="minorEastAsia" w:cs="Times New Roman"/>
          <w:kern w:val="0"/>
          <w:sz w:val="24"/>
          <w:szCs w:val="24"/>
        </w:rPr>
        <w:t>15%</w:t>
      </w:r>
      <w:r w:rsidRPr="00C25C95">
        <w:rPr>
          <w:rFonts w:asciiTheme="minorEastAsia" w:hAnsiTheme="minorEastAsia" w:cs="宋体" w:hint="eastAsia"/>
          <w:kern w:val="0"/>
          <w:sz w:val="24"/>
          <w:szCs w:val="24"/>
        </w:rPr>
        <w:t>（港澳台研究生和留学研究生的重合字数比例小于等于</w:t>
      </w:r>
      <w:r w:rsidRPr="00C25C95">
        <w:rPr>
          <w:rFonts w:asciiTheme="minorEastAsia" w:hAnsiTheme="minorEastAsia" w:cs="Times New Roman"/>
          <w:kern w:val="0"/>
          <w:sz w:val="24"/>
          <w:szCs w:val="24"/>
        </w:rPr>
        <w:t>20%</w:t>
      </w:r>
      <w:r w:rsidRPr="00C25C95">
        <w:rPr>
          <w:rFonts w:asciiTheme="minorEastAsia" w:hAnsiTheme="minorEastAsia" w:cs="宋体" w:hint="eastAsia"/>
          <w:kern w:val="0"/>
          <w:sz w:val="24"/>
          <w:szCs w:val="24"/>
        </w:rPr>
        <w:t>）的论文，认定为论文可进行正常送审和答辩。</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Times New Roman"/>
          <w:kern w:val="0"/>
          <w:sz w:val="24"/>
          <w:szCs w:val="24"/>
        </w:rPr>
        <w:t>2</w:t>
      </w:r>
      <w:r w:rsidRPr="00C25C95">
        <w:rPr>
          <w:rFonts w:asciiTheme="minorEastAsia" w:hAnsiTheme="minorEastAsia" w:cs="宋体" w:hint="eastAsia"/>
          <w:kern w:val="0"/>
          <w:sz w:val="24"/>
          <w:szCs w:val="24"/>
        </w:rPr>
        <w:t>、除去本人为第一作者发表的论文以外，重合字数比例大于</w:t>
      </w:r>
      <w:r w:rsidRPr="00C25C95">
        <w:rPr>
          <w:rFonts w:asciiTheme="minorEastAsia" w:hAnsiTheme="minorEastAsia" w:cs="Times New Roman"/>
          <w:kern w:val="0"/>
          <w:sz w:val="24"/>
          <w:szCs w:val="24"/>
        </w:rPr>
        <w:t>15%</w:t>
      </w:r>
      <w:r w:rsidRPr="00C25C95">
        <w:rPr>
          <w:rFonts w:asciiTheme="minorEastAsia" w:hAnsiTheme="minorEastAsia" w:cs="宋体" w:hint="eastAsia"/>
          <w:kern w:val="0"/>
          <w:sz w:val="24"/>
          <w:szCs w:val="24"/>
        </w:rPr>
        <w:t>小于等于</w:t>
      </w:r>
      <w:r w:rsidRPr="00C25C95">
        <w:rPr>
          <w:rFonts w:asciiTheme="minorEastAsia" w:hAnsiTheme="minorEastAsia" w:cs="Times New Roman"/>
          <w:kern w:val="0"/>
          <w:sz w:val="24"/>
          <w:szCs w:val="24"/>
        </w:rPr>
        <w:t>30%</w:t>
      </w:r>
      <w:r w:rsidRPr="00C25C95">
        <w:rPr>
          <w:rFonts w:asciiTheme="minorEastAsia" w:hAnsiTheme="minorEastAsia" w:cs="宋体" w:hint="eastAsia"/>
          <w:kern w:val="0"/>
          <w:sz w:val="24"/>
          <w:szCs w:val="24"/>
        </w:rPr>
        <w:t>（港澳台研究生和留学研究生的重合字数比例大于</w:t>
      </w:r>
      <w:r w:rsidRPr="00C25C95">
        <w:rPr>
          <w:rFonts w:asciiTheme="minorEastAsia" w:hAnsiTheme="minorEastAsia" w:cs="Times New Roman"/>
          <w:kern w:val="0"/>
          <w:sz w:val="24"/>
          <w:szCs w:val="24"/>
        </w:rPr>
        <w:t>20%</w:t>
      </w:r>
      <w:r w:rsidRPr="00C25C95">
        <w:rPr>
          <w:rFonts w:asciiTheme="minorEastAsia" w:hAnsiTheme="minorEastAsia" w:cs="宋体" w:hint="eastAsia"/>
          <w:kern w:val="0"/>
          <w:sz w:val="24"/>
          <w:szCs w:val="24"/>
        </w:rPr>
        <w:t>小于等于</w:t>
      </w:r>
      <w:r w:rsidRPr="00C25C95">
        <w:rPr>
          <w:rFonts w:asciiTheme="minorEastAsia" w:hAnsiTheme="minorEastAsia" w:cs="Times New Roman"/>
          <w:kern w:val="0"/>
          <w:sz w:val="24"/>
          <w:szCs w:val="24"/>
        </w:rPr>
        <w:t>40%</w:t>
      </w:r>
      <w:r w:rsidRPr="00C25C95">
        <w:rPr>
          <w:rFonts w:asciiTheme="minorEastAsia" w:hAnsiTheme="minorEastAsia" w:cs="宋体" w:hint="eastAsia"/>
          <w:kern w:val="0"/>
          <w:sz w:val="24"/>
          <w:szCs w:val="24"/>
        </w:rPr>
        <w:t>）的论文，由二级学院分学位评定委员会参考研究生处提供详细的论文检测报告，根据专业特点表决做出其论文是否同意送审和答辩。如果表决同意，则需根据检测报告进行必要的修改，提交书面修改说明，并强制参加盲审；如果表决不同意，则取消本次学位申请。</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Times New Roman"/>
          <w:kern w:val="0"/>
          <w:sz w:val="24"/>
          <w:szCs w:val="24"/>
        </w:rPr>
        <w:t>3</w:t>
      </w:r>
      <w:r w:rsidRPr="00C25C95">
        <w:rPr>
          <w:rFonts w:asciiTheme="minorEastAsia" w:hAnsiTheme="minorEastAsia" w:cs="宋体" w:hint="eastAsia"/>
          <w:kern w:val="0"/>
          <w:sz w:val="24"/>
          <w:szCs w:val="24"/>
        </w:rPr>
        <w:t>、在</w:t>
      </w:r>
      <w:r w:rsidRPr="00C25C95">
        <w:rPr>
          <w:rFonts w:asciiTheme="minorEastAsia" w:hAnsiTheme="minorEastAsia" w:cs="Times New Roman"/>
          <w:kern w:val="0"/>
          <w:sz w:val="24"/>
          <w:szCs w:val="24"/>
        </w:rPr>
        <w:t>1</w:t>
      </w:r>
      <w:r w:rsidRPr="00C25C95">
        <w:rPr>
          <w:rFonts w:asciiTheme="minorEastAsia" w:hAnsiTheme="minorEastAsia" w:cs="宋体" w:hint="eastAsia"/>
          <w:kern w:val="0"/>
          <w:sz w:val="24"/>
          <w:szCs w:val="24"/>
        </w:rPr>
        <w:t>和</w:t>
      </w:r>
      <w:r w:rsidRPr="00C25C95">
        <w:rPr>
          <w:rFonts w:asciiTheme="minorEastAsia" w:hAnsiTheme="minorEastAsia" w:cs="Times New Roman"/>
          <w:kern w:val="0"/>
          <w:sz w:val="24"/>
          <w:szCs w:val="24"/>
        </w:rPr>
        <w:t>2</w:t>
      </w:r>
      <w:r w:rsidRPr="00C25C95">
        <w:rPr>
          <w:rFonts w:asciiTheme="minorEastAsia" w:hAnsiTheme="minorEastAsia" w:cs="宋体" w:hint="eastAsia"/>
          <w:kern w:val="0"/>
          <w:sz w:val="24"/>
          <w:szCs w:val="24"/>
        </w:rPr>
        <w:t>两种情况中，如果检测出论文连续重合文字大于</w:t>
      </w:r>
      <w:r w:rsidRPr="00C25C95">
        <w:rPr>
          <w:rFonts w:asciiTheme="minorEastAsia" w:hAnsiTheme="minorEastAsia" w:cs="Times New Roman"/>
          <w:kern w:val="0"/>
          <w:sz w:val="24"/>
          <w:szCs w:val="24"/>
        </w:rPr>
        <w:t>200</w:t>
      </w:r>
      <w:r w:rsidRPr="00C25C95">
        <w:rPr>
          <w:rFonts w:asciiTheme="minorEastAsia" w:hAnsiTheme="minorEastAsia" w:cs="宋体" w:hint="eastAsia"/>
          <w:kern w:val="0"/>
          <w:sz w:val="24"/>
          <w:szCs w:val="24"/>
        </w:rPr>
        <w:t>字的，需对重合部分做必要的修改，并提交书面修改说明。</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Times New Roman"/>
          <w:kern w:val="0"/>
          <w:sz w:val="24"/>
          <w:szCs w:val="24"/>
        </w:rPr>
        <w:t>4</w:t>
      </w:r>
      <w:r w:rsidRPr="00C25C95">
        <w:rPr>
          <w:rFonts w:asciiTheme="minorEastAsia" w:hAnsiTheme="minorEastAsia" w:cs="宋体" w:hint="eastAsia"/>
          <w:kern w:val="0"/>
          <w:sz w:val="24"/>
          <w:szCs w:val="24"/>
        </w:rPr>
        <w:t>、在</w:t>
      </w:r>
      <w:r w:rsidRPr="00C25C95">
        <w:rPr>
          <w:rFonts w:asciiTheme="minorEastAsia" w:hAnsiTheme="minorEastAsia" w:cs="Times New Roman"/>
          <w:kern w:val="0"/>
          <w:sz w:val="24"/>
          <w:szCs w:val="24"/>
        </w:rPr>
        <w:t>1</w:t>
      </w:r>
      <w:r w:rsidRPr="00C25C95">
        <w:rPr>
          <w:rFonts w:asciiTheme="minorEastAsia" w:hAnsiTheme="minorEastAsia" w:cs="宋体" w:hint="eastAsia"/>
          <w:kern w:val="0"/>
          <w:sz w:val="24"/>
          <w:szCs w:val="24"/>
        </w:rPr>
        <w:t>和</w:t>
      </w:r>
      <w:r w:rsidRPr="00C25C95">
        <w:rPr>
          <w:rFonts w:asciiTheme="minorEastAsia" w:hAnsiTheme="minorEastAsia" w:cs="Times New Roman"/>
          <w:kern w:val="0"/>
          <w:sz w:val="24"/>
          <w:szCs w:val="24"/>
        </w:rPr>
        <w:t>2</w:t>
      </w:r>
      <w:r w:rsidRPr="00C25C95">
        <w:rPr>
          <w:rFonts w:asciiTheme="minorEastAsia" w:hAnsiTheme="minorEastAsia" w:cs="宋体" w:hint="eastAsia"/>
          <w:kern w:val="0"/>
          <w:sz w:val="24"/>
          <w:szCs w:val="24"/>
        </w:rPr>
        <w:t>两种情况中，如果检测出论文的结论和建议部分有重合的，则由二级学院分学位评定委员会表决是否同意其本次学位申请。如果表决同意，则需进行必要的修改，并由其指导教师提交书面修改说明后方可进行后续学位申请工作；如果表决不同意，则取消本次学位申请。</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Times New Roman"/>
          <w:kern w:val="0"/>
          <w:sz w:val="24"/>
          <w:szCs w:val="24"/>
        </w:rPr>
        <w:t>5</w:t>
      </w:r>
      <w:r w:rsidRPr="00C25C95">
        <w:rPr>
          <w:rFonts w:asciiTheme="minorEastAsia" w:hAnsiTheme="minorEastAsia" w:cs="宋体" w:hint="eastAsia"/>
          <w:kern w:val="0"/>
          <w:sz w:val="24"/>
          <w:szCs w:val="24"/>
        </w:rPr>
        <w:t>、除去本人为第一作者发表的论文以外，重合字数比例大于</w:t>
      </w:r>
      <w:r w:rsidRPr="00C25C95">
        <w:rPr>
          <w:rFonts w:asciiTheme="minorEastAsia" w:hAnsiTheme="minorEastAsia" w:cs="Times New Roman"/>
          <w:kern w:val="0"/>
          <w:sz w:val="24"/>
          <w:szCs w:val="24"/>
        </w:rPr>
        <w:t>30%</w:t>
      </w:r>
      <w:r w:rsidRPr="00C25C95">
        <w:rPr>
          <w:rFonts w:asciiTheme="minorEastAsia" w:hAnsiTheme="minorEastAsia" w:cs="宋体" w:hint="eastAsia"/>
          <w:kern w:val="0"/>
          <w:sz w:val="24"/>
          <w:szCs w:val="24"/>
        </w:rPr>
        <w:t>（港澳台研究生和留学研究生的论文重合字数比例大于</w:t>
      </w:r>
      <w:r w:rsidRPr="00C25C95">
        <w:rPr>
          <w:rFonts w:asciiTheme="minorEastAsia" w:hAnsiTheme="minorEastAsia" w:cs="Times New Roman"/>
          <w:kern w:val="0"/>
          <w:sz w:val="24"/>
          <w:szCs w:val="24"/>
        </w:rPr>
        <w:t>40%</w:t>
      </w:r>
      <w:r w:rsidRPr="00C25C95">
        <w:rPr>
          <w:rFonts w:asciiTheme="minorEastAsia" w:hAnsiTheme="minorEastAsia" w:cs="宋体" w:hint="eastAsia"/>
          <w:kern w:val="0"/>
          <w:sz w:val="24"/>
          <w:szCs w:val="24"/>
        </w:rPr>
        <w:t>）的论文，视为抄袭情节较为严重者，论文需做重大修改，取消本次学位申请。其中，抄袭剽窃行为极为严重者，经二级学院分学位评定委员会讨论决定，有权提出取消其学位申请资格的建议，并报学院学位评定委员会审议通过后执行。</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在学位授予过程中（论文答辩后）或是学位授予之后，校研究生处可根据具体情况对学位论文进行抽检，如发现有舞弊作伪等严重违反《中华人民共和国学位条例》规定的情况，根据其中第十七条等相关规定，不予授予学位或经学位评定委员会复议撤销其学位。</w:t>
      </w:r>
    </w:p>
    <w:p w:rsidR="00C25C95" w:rsidRDefault="00C25C95" w:rsidP="00E03FC5">
      <w:pPr>
        <w:widowControl/>
        <w:adjustRightInd w:val="0"/>
        <w:snapToGrid w:val="0"/>
        <w:spacing w:beforeLines="50" w:afterLines="50" w:line="480" w:lineRule="exact"/>
        <w:ind w:firstLineChars="200" w:firstLine="482"/>
        <w:jc w:val="left"/>
        <w:rPr>
          <w:rFonts w:asciiTheme="minorEastAsia" w:hAnsiTheme="minorEastAsia" w:cs="宋体"/>
          <w:b/>
          <w:bCs/>
          <w:kern w:val="0"/>
          <w:sz w:val="24"/>
          <w:szCs w:val="24"/>
        </w:rPr>
      </w:pPr>
      <w:r w:rsidRPr="00C25C95">
        <w:rPr>
          <w:rFonts w:asciiTheme="minorEastAsia" w:hAnsiTheme="minorEastAsia" w:cs="宋体" w:hint="eastAsia"/>
          <w:b/>
          <w:bCs/>
          <w:kern w:val="0"/>
          <w:sz w:val="24"/>
          <w:szCs w:val="24"/>
        </w:rPr>
        <w:lastRenderedPageBreak/>
        <w:t>四、相关要求</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1、研究生处应通过研究生学位论文不端行为检测工作，认真总结经验，分析研究生学位论文中存在的问题，研究应对措施，加强对在校研究生学术道德和学术规范方面的教育。</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2、各二级学院要高度重视学位论文检测工作，要充分认识到该项工作对培养优良学风，提高研究生培养质量的重要作用；各二级学院学位评定分委员会应严格把关，对在检测中出现的问题要认真查看、仔细分析，制定采取切实可行的处理办法。要做好研究生和导师的思想工作，做好检测工作和集中答辩的时间衔接。</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3、研究生应切实加强学术道德自律，遵守学术规范，认真自查、自检学位论文是否符合学术道德规范要求。同时，希望各二级学院和研究生导师加强对研究生学位论文学术规范的指导和审查，严格把关，杜绝学术不端行为的发生，保证学位论文质量。</w:t>
      </w:r>
    </w:p>
    <w:p w:rsidR="00C25C95" w:rsidRDefault="00C25C95" w:rsidP="00E03FC5">
      <w:pPr>
        <w:widowControl/>
        <w:adjustRightInd w:val="0"/>
        <w:snapToGrid w:val="0"/>
        <w:spacing w:beforeLines="50" w:afterLines="50" w:line="480" w:lineRule="exact"/>
        <w:ind w:firstLineChars="200" w:firstLine="482"/>
        <w:jc w:val="left"/>
        <w:rPr>
          <w:rFonts w:asciiTheme="minorEastAsia" w:hAnsiTheme="minorEastAsia" w:cs="宋体"/>
          <w:b/>
          <w:bCs/>
          <w:kern w:val="0"/>
          <w:sz w:val="24"/>
          <w:szCs w:val="24"/>
        </w:rPr>
      </w:pPr>
      <w:r w:rsidRPr="00C25C95">
        <w:rPr>
          <w:rFonts w:asciiTheme="minorEastAsia" w:hAnsiTheme="minorEastAsia" w:cs="宋体" w:hint="eastAsia"/>
          <w:b/>
          <w:bCs/>
          <w:kern w:val="0"/>
          <w:sz w:val="24"/>
          <w:szCs w:val="24"/>
        </w:rPr>
        <w:t>五、其它</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1、各二级学院可以依据本办法规定，结合本部门的学科专业特点，制定适用于相关专业的规定。报研究生处备案。</w:t>
      </w:r>
    </w:p>
    <w:p w:rsid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2、本办法由校研究生处负责解释。</w:t>
      </w:r>
    </w:p>
    <w:p w:rsidR="00C25C95" w:rsidRPr="00C25C95" w:rsidRDefault="00C25C95" w:rsidP="00E03FC5">
      <w:pPr>
        <w:widowControl/>
        <w:adjustRightInd w:val="0"/>
        <w:snapToGrid w:val="0"/>
        <w:spacing w:line="480" w:lineRule="exact"/>
        <w:ind w:firstLineChars="200" w:firstLine="480"/>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3、本办法自发布之日起试行。</w:t>
      </w:r>
    </w:p>
    <w:p w:rsidR="00C25C95" w:rsidRDefault="00C25C95" w:rsidP="00E03FC5">
      <w:pPr>
        <w:widowControl/>
        <w:adjustRightInd w:val="0"/>
        <w:snapToGrid w:val="0"/>
        <w:spacing w:line="480" w:lineRule="exact"/>
        <w:ind w:firstLineChars="1915" w:firstLine="4596"/>
        <w:jc w:val="left"/>
        <w:rPr>
          <w:rFonts w:asciiTheme="minorEastAsia" w:hAnsiTheme="minorEastAsia" w:cs="宋体"/>
          <w:kern w:val="0"/>
          <w:sz w:val="24"/>
          <w:szCs w:val="24"/>
        </w:rPr>
      </w:pPr>
    </w:p>
    <w:p w:rsidR="00C25C95" w:rsidRDefault="00C25C95" w:rsidP="00E03FC5">
      <w:pPr>
        <w:widowControl/>
        <w:adjustRightInd w:val="0"/>
        <w:snapToGrid w:val="0"/>
        <w:spacing w:line="480" w:lineRule="exact"/>
        <w:ind w:firstLineChars="1915" w:firstLine="4596"/>
        <w:jc w:val="left"/>
        <w:rPr>
          <w:rFonts w:asciiTheme="minorEastAsia" w:hAnsiTheme="minorEastAsia" w:cs="宋体"/>
          <w:kern w:val="0"/>
          <w:sz w:val="24"/>
          <w:szCs w:val="24"/>
        </w:rPr>
      </w:pPr>
    </w:p>
    <w:p w:rsidR="00C25C95" w:rsidRDefault="00C25C95" w:rsidP="00E03FC5">
      <w:pPr>
        <w:widowControl/>
        <w:adjustRightInd w:val="0"/>
        <w:snapToGrid w:val="0"/>
        <w:spacing w:line="480" w:lineRule="exact"/>
        <w:ind w:firstLineChars="2765" w:firstLine="6636"/>
        <w:jc w:val="left"/>
        <w:rPr>
          <w:rFonts w:asciiTheme="minorEastAsia" w:hAnsiTheme="minorEastAsia" w:cs="宋体"/>
          <w:kern w:val="0"/>
          <w:sz w:val="24"/>
          <w:szCs w:val="24"/>
        </w:rPr>
      </w:pPr>
      <w:r w:rsidRPr="00C25C95">
        <w:rPr>
          <w:rFonts w:asciiTheme="minorEastAsia" w:hAnsiTheme="minorEastAsia" w:cs="宋体" w:hint="eastAsia"/>
          <w:kern w:val="0"/>
          <w:sz w:val="24"/>
          <w:szCs w:val="24"/>
        </w:rPr>
        <w:t>上海体育学院</w:t>
      </w:r>
    </w:p>
    <w:p w:rsidR="00C25C95" w:rsidRPr="00C25C95" w:rsidRDefault="00C25C95" w:rsidP="00E03FC5">
      <w:pPr>
        <w:widowControl/>
        <w:adjustRightInd w:val="0"/>
        <w:snapToGrid w:val="0"/>
        <w:spacing w:line="480" w:lineRule="exact"/>
        <w:ind w:firstLineChars="1915" w:firstLine="4596"/>
        <w:jc w:val="right"/>
        <w:rPr>
          <w:rFonts w:asciiTheme="minorEastAsia" w:hAnsiTheme="minorEastAsia" w:cs="宋体"/>
          <w:kern w:val="0"/>
          <w:sz w:val="24"/>
          <w:szCs w:val="24"/>
        </w:rPr>
      </w:pPr>
      <w:r w:rsidRPr="00C25C95">
        <w:rPr>
          <w:rFonts w:asciiTheme="minorEastAsia" w:hAnsiTheme="minorEastAsia" w:cs="宋体" w:hint="eastAsia"/>
          <w:kern w:val="0"/>
          <w:sz w:val="24"/>
          <w:szCs w:val="24"/>
        </w:rPr>
        <w:t>2014年4月3日</w:t>
      </w:r>
    </w:p>
    <w:p w:rsidR="00BC7767" w:rsidRPr="00C25C95" w:rsidRDefault="00BC7767" w:rsidP="00E03FC5">
      <w:pPr>
        <w:spacing w:line="480" w:lineRule="exact"/>
        <w:rPr>
          <w:rFonts w:asciiTheme="minorEastAsia" w:hAnsiTheme="minorEastAsia"/>
          <w:sz w:val="24"/>
          <w:szCs w:val="24"/>
        </w:rPr>
      </w:pPr>
    </w:p>
    <w:sectPr w:rsidR="00BC7767" w:rsidRPr="00C25C95" w:rsidSect="00BC77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F5C" w:rsidRDefault="001E6F5C" w:rsidP="00C25C95">
      <w:r>
        <w:separator/>
      </w:r>
    </w:p>
  </w:endnote>
  <w:endnote w:type="continuationSeparator" w:id="0">
    <w:p w:rsidR="001E6F5C" w:rsidRDefault="001E6F5C" w:rsidP="00C25C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F5C" w:rsidRDefault="001E6F5C" w:rsidP="00C25C95">
      <w:r>
        <w:separator/>
      </w:r>
    </w:p>
  </w:footnote>
  <w:footnote w:type="continuationSeparator" w:id="0">
    <w:p w:rsidR="001E6F5C" w:rsidRDefault="001E6F5C" w:rsidP="00C25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65C0"/>
    <w:rsid w:val="000A65C0"/>
    <w:rsid w:val="001E6F5C"/>
    <w:rsid w:val="006F5770"/>
    <w:rsid w:val="00A520A3"/>
    <w:rsid w:val="00BC7767"/>
    <w:rsid w:val="00C20817"/>
    <w:rsid w:val="00C25C95"/>
    <w:rsid w:val="00E03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style488671">
    <w:name w:val="authorstyle488671"/>
    <w:basedOn w:val="a0"/>
    <w:rsid w:val="000A65C0"/>
    <w:rPr>
      <w:sz w:val="18"/>
      <w:szCs w:val="18"/>
    </w:rPr>
  </w:style>
  <w:style w:type="paragraph" w:styleId="a3">
    <w:name w:val="header"/>
    <w:basedOn w:val="a"/>
    <w:link w:val="Char"/>
    <w:uiPriority w:val="99"/>
    <w:semiHidden/>
    <w:unhideWhenUsed/>
    <w:rsid w:val="00C25C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5C95"/>
    <w:rPr>
      <w:sz w:val="18"/>
      <w:szCs w:val="18"/>
    </w:rPr>
  </w:style>
  <w:style w:type="paragraph" w:styleId="a4">
    <w:name w:val="footer"/>
    <w:basedOn w:val="a"/>
    <w:link w:val="Char0"/>
    <w:uiPriority w:val="99"/>
    <w:semiHidden/>
    <w:unhideWhenUsed/>
    <w:rsid w:val="00C25C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5C95"/>
    <w:rPr>
      <w:sz w:val="18"/>
      <w:szCs w:val="18"/>
    </w:rPr>
  </w:style>
</w:styles>
</file>

<file path=word/webSettings.xml><?xml version="1.0" encoding="utf-8"?>
<w:webSettings xmlns:r="http://schemas.openxmlformats.org/officeDocument/2006/relationships" xmlns:w="http://schemas.openxmlformats.org/wordprocessingml/2006/main">
  <w:divs>
    <w:div w:id="944385994">
      <w:bodyDiv w:val="1"/>
      <w:marLeft w:val="0"/>
      <w:marRight w:val="0"/>
      <w:marTop w:val="0"/>
      <w:marBottom w:val="0"/>
      <w:divBdr>
        <w:top w:val="none" w:sz="0" w:space="0" w:color="auto"/>
        <w:left w:val="none" w:sz="0" w:space="0" w:color="auto"/>
        <w:bottom w:val="none" w:sz="0" w:space="0" w:color="auto"/>
        <w:right w:val="none" w:sz="0" w:space="0" w:color="auto"/>
      </w:divBdr>
      <w:divsChild>
        <w:div w:id="2004820799">
          <w:marLeft w:val="0"/>
          <w:marRight w:val="0"/>
          <w:marTop w:val="0"/>
          <w:marBottom w:val="0"/>
          <w:divBdr>
            <w:top w:val="none" w:sz="0" w:space="0" w:color="auto"/>
            <w:left w:val="none" w:sz="0" w:space="0" w:color="auto"/>
            <w:bottom w:val="none" w:sz="0" w:space="0" w:color="auto"/>
            <w:right w:val="none" w:sz="0" w:space="0" w:color="auto"/>
          </w:divBdr>
          <w:divsChild>
            <w:div w:id="557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2015-09-11T08:44:00Z</dcterms:created>
  <dcterms:modified xsi:type="dcterms:W3CDTF">2015-12-21T02:15:00Z</dcterms:modified>
</cp:coreProperties>
</file>